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GRUPO VIDANTA SERÁ PATROCINADOR OFICIAL DEL ATLÉTICO BAHIA FC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El equipo de fútbol Atlético Bahía FC debuta en la Liga Premier durante la temporada 2019 – 2020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Bahía de Banderas, a 05 de agosto de 2019.–</w:t>
      </w:r>
      <w:r w:rsidDel="00000000" w:rsidR="00000000" w:rsidRPr="00000000">
        <w:rPr>
          <w:rtl w:val="0"/>
        </w:rPr>
        <w:t xml:space="preserve"> Como parte de su estrategia de Responsabilidad Social Corporativa (RSC), Grupo Vidanta –líder de resorts e infraestructuras turísticas en México y Latinoamérica– será patrocinador oficial del equipo de fútbol Atlético Bahía FC durante la temporada 2019 – 2020, impulsando así el deporte en la comunidad y ofreciendo una opción de entretenimiento a los habitantes de Bahía de Banderas.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Atlético Bahía FC forma parte de la Liga Premier y tendrá como director técnico a Marco Fabián Vázquez, quien dirigió a las fuerzas básicas del Club Deportivo Guadalajara. A través de este patrocinio, los jugadores locales tendrán la oportunidad de demostrar su talento y de inspirar a otros a seguir su sueño de convertirse en grandes estrellas del fútbol.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Grupo Vidanta constantemente busca apoyar el desarrollo de la comunidad de Bahía de Banderas de manera integral y a través de esta iniciativa, continuará promoviendo el deporte como parte de una vida sana entre sus habitantes.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conocer más acerca de este y otros programas de RSC de Grupo Vidanta, por favor visite </w:t>
      </w:r>
      <w:hyperlink r:id="rId7">
        <w:r w:rsidDel="00000000" w:rsidR="00000000" w:rsidRPr="00000000">
          <w:rPr>
            <w:color w:val="1155cc"/>
            <w:u w:val="single"/>
            <w:rtl w:val="0"/>
          </w:rPr>
          <w:t xml:space="preserve">www.grupovidanta.com</w:t>
        </w:r>
      </w:hyperlink>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sz w:val="18"/>
          <w:szCs w:val="18"/>
        </w:rPr>
      </w:pPr>
      <w:r w:rsidDel="00000000" w:rsidR="00000000" w:rsidRPr="00000000">
        <w:rPr>
          <w:b w:val="1"/>
          <w:sz w:val="18"/>
          <w:szCs w:val="18"/>
          <w:rtl w:val="0"/>
        </w:rPr>
        <w:t xml:space="preserve">Acerca de Grupo Vidanta</w:t>
      </w:r>
    </w:p>
    <w:p w:rsidR="00000000" w:rsidDel="00000000" w:rsidP="00000000" w:rsidRDefault="00000000" w:rsidRPr="00000000" w14:paraId="00000011">
      <w:pPr>
        <w:jc w:val="both"/>
        <w:rPr>
          <w:sz w:val="18"/>
          <w:szCs w:val="18"/>
        </w:rPr>
      </w:pP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5">
      <w:pPr>
        <w:jc w:val="both"/>
        <w:rPr>
          <w:sz w:val="18"/>
          <w:szCs w:val="18"/>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sz w:val="18"/>
          <w:szCs w:val="18"/>
        </w:rPr>
      </w:pPr>
      <w:r w:rsidDel="00000000" w:rsidR="00000000" w:rsidRPr="00000000">
        <w:rPr>
          <w:sz w:val="18"/>
          <w:szCs w:val="18"/>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2019 otorgado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9">
      <w:pPr>
        <w:jc w:val="both"/>
        <w:rPr>
          <w:sz w:val="18"/>
          <w:szCs w:val="18"/>
        </w:rPr>
      </w:pPr>
      <w:r w:rsidDel="00000000" w:rsidR="00000000" w:rsidRPr="00000000">
        <w:rPr>
          <w:rtl w:val="0"/>
        </w:rPr>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Este 2019, Grupo Vidanta anunció la introducción The Estates a su portafolio, la más exclusiva y suntuosa opción de hospedaje que ofrecerá extraordinarias amenidades y experiencias vacacionales en México, así como el lanzamiento de la primera línea mexicana de cruceros de lujo, Vidanta Cruises, disponible a partir del otoño de 2019. </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jc w:val="both"/>
        <w:rPr>
          <w:sz w:val="18"/>
          <w:szCs w:val="18"/>
        </w:rPr>
      </w:pPr>
      <w:r w:rsidDel="00000000" w:rsidR="00000000" w:rsidRPr="00000000">
        <w:rPr>
          <w:sz w:val="18"/>
          <w:szCs w:val="18"/>
          <w:rtl w:val="0"/>
        </w:rPr>
        <w:t xml:space="preserve">Para obtener más información, visite </w:t>
      </w:r>
      <w:hyperlink r:id="rId8">
        <w:r w:rsidDel="00000000" w:rsidR="00000000" w:rsidRPr="00000000">
          <w:rPr>
            <w:color w:val="1155cc"/>
            <w:sz w:val="18"/>
            <w:szCs w:val="18"/>
            <w:u w:val="single"/>
            <w:rtl w:val="0"/>
          </w:rPr>
          <w:t xml:space="preserve">www.GrupoVidanta.com</w:t>
        </w:r>
      </w:hyperlink>
      <w:r w:rsidDel="00000000" w:rsidR="00000000" w:rsidRPr="00000000">
        <w:rPr>
          <w:sz w:val="18"/>
          <w:szCs w:val="18"/>
          <w:rtl w:val="0"/>
        </w:rPr>
        <w:t xml:space="preserve">.</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CONTACTO DE PRENSA: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Sandy Machuca</w:t>
      </w:r>
    </w:p>
    <w:p w:rsidR="00000000" w:rsidDel="00000000" w:rsidP="00000000" w:rsidRDefault="00000000" w:rsidRPr="00000000" w14:paraId="00000021">
      <w:pPr>
        <w:jc w:val="both"/>
        <w:rPr/>
      </w:pPr>
      <w:r w:rsidDel="00000000" w:rsidR="00000000" w:rsidRPr="00000000">
        <w:rPr>
          <w:rtl w:val="0"/>
        </w:rPr>
        <w:t xml:space="preserve">sandy@another.co </w:t>
      </w:r>
    </w:p>
    <w:p w:rsidR="00000000" w:rsidDel="00000000" w:rsidP="00000000" w:rsidRDefault="00000000" w:rsidRPr="00000000" w14:paraId="00000022">
      <w:pPr>
        <w:jc w:val="both"/>
        <w:rPr/>
      </w:pPr>
      <w:r w:rsidDel="00000000" w:rsidR="00000000" w:rsidRPr="00000000">
        <w:rPr>
          <w:rtl w:val="0"/>
        </w:rPr>
        <w:t xml:space="preserve">Public Relations Manager</w:t>
      </w:r>
    </w:p>
    <w:p w:rsidR="00000000" w:rsidDel="00000000" w:rsidP="00000000" w:rsidRDefault="00000000" w:rsidRPr="00000000" w14:paraId="00000023">
      <w:pPr>
        <w:jc w:val="both"/>
        <w:rPr/>
      </w:pPr>
      <w:r w:rsidDel="00000000" w:rsidR="00000000" w:rsidRPr="00000000">
        <w:rPr>
          <w:rtl w:val="0"/>
        </w:rPr>
        <w:t xml:space="preserve">Of. 6392.1100 Ext. 3415</w:t>
      </w:r>
    </w:p>
    <w:p w:rsidR="00000000" w:rsidDel="00000000" w:rsidP="00000000" w:rsidRDefault="00000000" w:rsidRPr="00000000" w14:paraId="00000024">
      <w:pPr>
        <w:jc w:val="both"/>
        <w:rPr/>
      </w:pPr>
      <w:r w:rsidDel="00000000" w:rsidR="00000000" w:rsidRPr="00000000">
        <w:rPr>
          <w:rtl w:val="0"/>
        </w:rPr>
        <w:t xml:space="preserve">M: 04455 2270 5536</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Peisha Yee</w:t>
      </w:r>
    </w:p>
    <w:p w:rsidR="00000000" w:rsidDel="00000000" w:rsidP="00000000" w:rsidRDefault="00000000" w:rsidRPr="00000000" w14:paraId="00000027">
      <w:pPr>
        <w:jc w:val="both"/>
        <w:rPr/>
      </w:pPr>
      <w:r w:rsidDel="00000000" w:rsidR="00000000" w:rsidRPr="00000000">
        <w:rPr>
          <w:rtl w:val="0"/>
        </w:rPr>
        <w:t xml:space="preserve">peisha.yee@another.co </w:t>
      </w:r>
    </w:p>
    <w:p w:rsidR="00000000" w:rsidDel="00000000" w:rsidP="00000000" w:rsidRDefault="00000000" w:rsidRPr="00000000" w14:paraId="00000028">
      <w:pPr>
        <w:jc w:val="both"/>
        <w:rPr/>
      </w:pPr>
      <w:r w:rsidDel="00000000" w:rsidR="00000000" w:rsidRPr="00000000">
        <w:rPr>
          <w:rtl w:val="0"/>
        </w:rPr>
        <w:t xml:space="preserve">Account Executive Sr. </w:t>
      </w:r>
    </w:p>
    <w:p w:rsidR="00000000" w:rsidDel="00000000" w:rsidP="00000000" w:rsidRDefault="00000000" w:rsidRPr="00000000" w14:paraId="00000029">
      <w:pPr>
        <w:jc w:val="both"/>
        <w:rPr/>
      </w:pPr>
      <w:r w:rsidDel="00000000" w:rsidR="00000000" w:rsidRPr="00000000">
        <w:rPr>
          <w:rtl w:val="0"/>
        </w:rPr>
        <w:t xml:space="preserve">Of. 6392.1100</w:t>
      </w:r>
    </w:p>
    <w:p w:rsidR="00000000" w:rsidDel="00000000" w:rsidP="00000000" w:rsidRDefault="00000000" w:rsidRPr="00000000" w14:paraId="0000002A">
      <w:pPr>
        <w:jc w:val="both"/>
        <w:rPr/>
      </w:pPr>
      <w:r w:rsidDel="00000000" w:rsidR="00000000" w:rsidRPr="00000000">
        <w:rPr>
          <w:rtl w:val="0"/>
        </w:rPr>
        <w:t xml:space="preserve">M: 04455 3333 5732</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1628775</wp:posOffset>
          </wp:positionH>
          <wp:positionV relativeFrom="paragraph">
            <wp:posOffset>9525</wp:posOffset>
          </wp:positionV>
          <wp:extent cx="2684361" cy="626745"/>
          <wp:effectExtent b="0" l="0" r="0" t="0"/>
          <wp:wrapSquare wrapText="bothSides" distB="0" distT="0" distL="114300" distR="114300"/>
          <wp:docPr descr="Logo%20GV/Grupo-Vidanta.jpg" id="2" name="image1.jpg"/>
          <a:graphic>
            <a:graphicData uri="http://schemas.openxmlformats.org/drawingml/2006/picture">
              <pic:pic>
                <pic:nvPicPr>
                  <pic:cNvPr descr="Logo%20GV/Grupo-Vidanta.jpg" id="0" name="image1.jpg"/>
                  <pic:cNvPicPr preferRelativeResize="0"/>
                </pic:nvPicPr>
                <pic:blipFill>
                  <a:blip r:embed="rId1"/>
                  <a:srcRect b="38747" l="16496" r="18872" t="38747"/>
                  <a:stretch>
                    <a:fillRect/>
                  </a:stretch>
                </pic:blipFill>
                <pic:spPr>
                  <a:xfrm>
                    <a:off x="0" y="0"/>
                    <a:ext cx="2684361" cy="626745"/>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B36947"/>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B36947"/>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es/index.html"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TJO55iKnbVx5uHpJ9DEj0wHIQ==">AMUW2mW78ohEmY6I/mRIrEPgmSCf3bq+Iaiq++1NtB0bShgdYPEZGp1PUQBDK+9zw9L/gUkhlTVLZbFQ+CPUMoaFksPBHwLlKac49yIktORwJOJg+qi533pIBIZ4yNQGhtkowOd4PeVt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2019-07-30T04:14:00Z</dcterms:created>
</cp:coreProperties>
</file>